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국비보조 및 정부보조사업 현황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해당사항 없음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